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D858" w14:textId="3F86EDA7" w:rsidR="007F4D5F" w:rsidRPr="00537B2C" w:rsidRDefault="007F4D5F" w:rsidP="007F4D5F">
      <w:pPr>
        <w:jc w:val="center"/>
        <w:rPr>
          <w:b/>
          <w:color w:val="C00000"/>
          <w:sz w:val="44"/>
          <w:szCs w:val="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37B2C">
        <w:rPr>
          <w:b/>
          <w:caps/>
          <w:color w:val="C00000"/>
          <w:sz w:val="48"/>
          <w:szCs w:val="48"/>
          <w14:shadow w14:blurRad="63500" w14:dist="50800" w14:dir="162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all"/>
        </w:rPr>
        <w:t xml:space="preserve">Die Nonnen </w:t>
      </w:r>
      <w:r w:rsidR="0036467E">
        <w:rPr>
          <w:b/>
          <w:caps/>
          <w:color w:val="C00000"/>
          <w:sz w:val="48"/>
          <w:szCs w:val="48"/>
          <w14:shadow w14:blurRad="63500" w14:dist="50800" w14:dir="162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all"/>
        </w:rPr>
        <w:t>Südarmeniens</w:t>
      </w:r>
      <w:r w:rsidRPr="00537B2C">
        <w:rPr>
          <w:b/>
          <w:color w:val="C00000"/>
          <w:sz w:val="44"/>
          <w:szCs w:val="44"/>
          <w14:shadow w14:blurRad="63500" w14:dist="50800" w14:dir="162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all"/>
        </w:rPr>
        <w:t xml:space="preserve"> </w:t>
      </w:r>
      <w:r w:rsidRPr="00537B2C">
        <w:rPr>
          <w:b/>
          <w:color w:val="C00000"/>
          <w:sz w:val="44"/>
          <w:szCs w:val="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2F74572D" w14:textId="77777777" w:rsidR="007F4D5F" w:rsidRDefault="007F4D5F" w:rsidP="007F4D5F">
      <w:pPr>
        <w:jc w:val="center"/>
        <w:rPr>
          <w:b/>
          <w:color w:val="C0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37B2C">
        <w:rPr>
          <w:b/>
          <w:color w:val="C0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auf den Spuren </w:t>
      </w:r>
      <w:r>
        <w:rPr>
          <w:b/>
          <w:color w:val="C0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von </w:t>
      </w:r>
      <w:r w:rsidRPr="00537B2C">
        <w:rPr>
          <w:b/>
          <w:color w:val="C0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Nonnenklöster</w:t>
      </w:r>
      <w:r>
        <w:rPr>
          <w:b/>
          <w:color w:val="C0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w:t>
      </w:r>
      <w:r w:rsidRPr="00537B2C">
        <w:rPr>
          <w:b/>
          <w:color w:val="C0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und -</w:t>
      </w:r>
      <w:proofErr w:type="spellStart"/>
      <w:r w:rsidRPr="00537B2C">
        <w:rPr>
          <w:b/>
          <w:color w:val="C0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skriptorien</w:t>
      </w:r>
      <w:proofErr w:type="spellEnd"/>
      <w:r w:rsidRPr="00537B2C">
        <w:rPr>
          <w:b/>
          <w:color w:val="C0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1D411D76" w14:textId="719B9103" w:rsidR="007F4D5F" w:rsidRPr="00537B2C" w:rsidRDefault="007F4D5F" w:rsidP="007F4D5F">
      <w:pPr>
        <w:jc w:val="center"/>
        <w:rPr>
          <w:b/>
          <w:color w:val="C0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37B2C">
        <w:rPr>
          <w:b/>
          <w:color w:val="C0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in Südarmenien im 17. </w:t>
      </w:r>
      <w:r w:rsidR="0036467E">
        <w:rPr>
          <w:b/>
          <w:color w:val="C00000"/>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-18. Jh.</w:t>
      </w:r>
    </w:p>
    <w:p w14:paraId="6613EF9D" w14:textId="1DC3C21C" w:rsidR="007F4D5F" w:rsidRDefault="007F4D5F" w:rsidP="007F4D5F">
      <w:pPr>
        <w:jc w:val="both"/>
      </w:pPr>
    </w:p>
    <w:p w14:paraId="25DC3945" w14:textId="07E10981" w:rsidR="007F4D5F" w:rsidRDefault="00072354" w:rsidP="007F4D5F">
      <w:pPr>
        <w:jc w:val="both"/>
      </w:pPr>
      <w:r>
        <w:rPr>
          <w:noProof/>
          <w:sz w:val="28"/>
          <w:szCs w:val="28"/>
        </w:rPr>
        <w:drawing>
          <wp:anchor distT="0" distB="0" distL="114300" distR="114300" simplePos="0" relativeHeight="251663360" behindDoc="1" locked="0" layoutInCell="1" allowOverlap="1" wp14:anchorId="3CAF00E3" wp14:editId="08DE7F59">
            <wp:simplePos x="0" y="0"/>
            <wp:positionH relativeFrom="column">
              <wp:posOffset>4580890</wp:posOffset>
            </wp:positionH>
            <wp:positionV relativeFrom="page">
              <wp:posOffset>1996440</wp:posOffset>
            </wp:positionV>
            <wp:extent cx="1649095" cy="2439035"/>
            <wp:effectExtent l="0" t="0" r="8255" b="0"/>
            <wp:wrapTight wrapText="bothSides">
              <wp:wrapPolygon edited="0">
                <wp:start x="0" y="0"/>
                <wp:lineTo x="0" y="21426"/>
                <wp:lineTo x="21459" y="21426"/>
                <wp:lineTo x="2145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a:extLst>
                        <a:ext uri="{28A0092B-C50C-407E-A947-70E740481C1C}">
                          <a14:useLocalDpi xmlns:a14="http://schemas.microsoft.com/office/drawing/2010/main" val="0"/>
                        </a:ext>
                      </a:extLst>
                    </a:blip>
                    <a:stretch>
                      <a:fillRect/>
                    </a:stretch>
                  </pic:blipFill>
                  <pic:spPr>
                    <a:xfrm>
                      <a:off x="0" y="0"/>
                      <a:ext cx="1649095" cy="2439035"/>
                    </a:xfrm>
                    <a:prstGeom prst="rect">
                      <a:avLst/>
                    </a:prstGeom>
                  </pic:spPr>
                </pic:pic>
              </a:graphicData>
            </a:graphic>
            <wp14:sizeRelH relativeFrom="margin">
              <wp14:pctWidth>0</wp14:pctWidth>
            </wp14:sizeRelH>
            <wp14:sizeRelV relativeFrom="margin">
              <wp14:pctHeight>0</wp14:pctHeight>
            </wp14:sizeRelV>
          </wp:anchor>
        </w:drawing>
      </w:r>
    </w:p>
    <w:p w14:paraId="32B5206C" w14:textId="5F365175" w:rsidR="007F4D5F" w:rsidRDefault="007F4D5F" w:rsidP="007F4D5F">
      <w:pPr>
        <w:ind w:firstLine="708"/>
        <w:jc w:val="both"/>
        <w:rPr>
          <w:sz w:val="28"/>
          <w:szCs w:val="28"/>
        </w:rPr>
      </w:pPr>
      <w:r w:rsidRPr="00537B2C">
        <w:rPr>
          <w:sz w:val="28"/>
          <w:szCs w:val="28"/>
        </w:rPr>
        <w:t xml:space="preserve">Im 17.Jahrhundert erlebte der Süden Armenien rund um das berühmte Kloster </w:t>
      </w:r>
      <w:proofErr w:type="spellStart"/>
      <w:r w:rsidRPr="00537B2C">
        <w:rPr>
          <w:sz w:val="28"/>
          <w:szCs w:val="28"/>
        </w:rPr>
        <w:t>Tathe</w:t>
      </w:r>
      <w:r w:rsidR="00382DB1">
        <w:rPr>
          <w:sz w:val="28"/>
          <w:szCs w:val="28"/>
        </w:rPr>
        <w:t>v</w:t>
      </w:r>
      <w:proofErr w:type="spellEnd"/>
      <w:r w:rsidRPr="00537B2C">
        <w:rPr>
          <w:sz w:val="28"/>
          <w:szCs w:val="28"/>
        </w:rPr>
        <w:t xml:space="preserve"> (Provinz </w:t>
      </w:r>
      <w:proofErr w:type="spellStart"/>
      <w:r w:rsidRPr="00537B2C">
        <w:rPr>
          <w:sz w:val="28"/>
          <w:szCs w:val="28"/>
        </w:rPr>
        <w:t>Kapan</w:t>
      </w:r>
      <w:proofErr w:type="spellEnd"/>
      <w:r w:rsidRPr="00537B2C">
        <w:rPr>
          <w:sz w:val="28"/>
          <w:szCs w:val="28"/>
        </w:rPr>
        <w:t xml:space="preserve">) eine wahre Renaissance klösterlicher Kultur und Manuskriptproduktion, begünstigt durch die reiche armenische Kaufmannschaft in </w:t>
      </w:r>
      <w:proofErr w:type="spellStart"/>
      <w:r w:rsidRPr="00537B2C">
        <w:rPr>
          <w:sz w:val="28"/>
          <w:szCs w:val="28"/>
        </w:rPr>
        <w:t>Persarmenien</w:t>
      </w:r>
      <w:proofErr w:type="spellEnd"/>
      <w:r w:rsidRPr="00537B2C">
        <w:rPr>
          <w:sz w:val="28"/>
          <w:szCs w:val="28"/>
        </w:rPr>
        <w:t xml:space="preserve">. Zahlreiche Klöster wurden neu gegründet oder wieder aufgebaut, darunter auch eine Reihe von Frauenklöstern, die ebenfalls unter der Verwaltung von </w:t>
      </w:r>
      <w:proofErr w:type="spellStart"/>
      <w:r w:rsidRPr="00537B2C">
        <w:rPr>
          <w:sz w:val="28"/>
          <w:szCs w:val="28"/>
        </w:rPr>
        <w:t>Tathe</w:t>
      </w:r>
      <w:r w:rsidR="00382DB1">
        <w:rPr>
          <w:sz w:val="28"/>
          <w:szCs w:val="28"/>
        </w:rPr>
        <w:t>v</w:t>
      </w:r>
      <w:proofErr w:type="spellEnd"/>
      <w:r w:rsidRPr="00537B2C">
        <w:rPr>
          <w:sz w:val="28"/>
          <w:szCs w:val="28"/>
        </w:rPr>
        <w:t xml:space="preserve"> standen. Die Frauenklöster von </w:t>
      </w:r>
      <w:proofErr w:type="spellStart"/>
      <w:r w:rsidRPr="00382DB1">
        <w:rPr>
          <w:b/>
          <w:bCs/>
          <w:color w:val="C00000"/>
          <w:sz w:val="28"/>
          <w:szCs w:val="28"/>
        </w:rPr>
        <w:t>Shinuhayr</w:t>
      </w:r>
      <w:proofErr w:type="spellEnd"/>
      <w:r w:rsidRPr="00537B2C">
        <w:rPr>
          <w:color w:val="C00000"/>
          <w:sz w:val="28"/>
          <w:szCs w:val="28"/>
        </w:rPr>
        <w:t xml:space="preserve"> </w:t>
      </w:r>
      <w:r w:rsidRPr="00537B2C">
        <w:rPr>
          <w:sz w:val="28"/>
          <w:szCs w:val="28"/>
        </w:rPr>
        <w:t xml:space="preserve">und </w:t>
      </w:r>
      <w:proofErr w:type="spellStart"/>
      <w:r w:rsidRPr="00382DB1">
        <w:rPr>
          <w:b/>
          <w:bCs/>
          <w:color w:val="C00000"/>
          <w:sz w:val="28"/>
          <w:szCs w:val="28"/>
        </w:rPr>
        <w:t>Halidzor</w:t>
      </w:r>
      <w:proofErr w:type="spellEnd"/>
      <w:r w:rsidRPr="00537B2C">
        <w:rPr>
          <w:color w:val="C00000"/>
          <w:sz w:val="28"/>
          <w:szCs w:val="28"/>
        </w:rPr>
        <w:t xml:space="preserve"> </w:t>
      </w:r>
      <w:r w:rsidRPr="00537B2C">
        <w:rPr>
          <w:sz w:val="28"/>
          <w:szCs w:val="28"/>
        </w:rPr>
        <w:t>waren Zentren weiblicher Gelehrtheit, Skriptorien mit reicher Handschriftenproduktion, in der die Frauen von der Herstellung von Papier und Farben, Kopieren, Buchmalerei und Binden tätig waren und sogar thematisch ungewöhnlich</w:t>
      </w:r>
      <w:r>
        <w:rPr>
          <w:sz w:val="28"/>
          <w:szCs w:val="28"/>
        </w:rPr>
        <w:t>e</w:t>
      </w:r>
      <w:r w:rsidRPr="00537B2C">
        <w:rPr>
          <w:sz w:val="28"/>
          <w:szCs w:val="28"/>
        </w:rPr>
        <w:t xml:space="preserve"> Manuskripte anfertigten.  </w:t>
      </w:r>
    </w:p>
    <w:p w14:paraId="39F36FE1" w14:textId="1BD2E819" w:rsidR="007F4D5F" w:rsidRPr="00537B2C" w:rsidRDefault="007F4D5F" w:rsidP="007F4D5F">
      <w:pPr>
        <w:ind w:firstLine="708"/>
        <w:jc w:val="both"/>
        <w:rPr>
          <w:sz w:val="28"/>
          <w:szCs w:val="28"/>
        </w:rPr>
      </w:pPr>
      <w:r>
        <w:rPr>
          <w:noProof/>
        </w:rPr>
        <w:drawing>
          <wp:anchor distT="0" distB="0" distL="114300" distR="114300" simplePos="0" relativeHeight="251660288" behindDoc="1" locked="0" layoutInCell="1" allowOverlap="1" wp14:anchorId="33701B4D" wp14:editId="6ED4247F">
            <wp:simplePos x="0" y="0"/>
            <wp:positionH relativeFrom="column">
              <wp:posOffset>3810</wp:posOffset>
            </wp:positionH>
            <wp:positionV relativeFrom="paragraph">
              <wp:posOffset>85725</wp:posOffset>
            </wp:positionV>
            <wp:extent cx="1901190" cy="2537460"/>
            <wp:effectExtent l="0" t="0" r="3810" b="0"/>
            <wp:wrapTight wrapText="bothSides">
              <wp:wrapPolygon edited="0">
                <wp:start x="0" y="0"/>
                <wp:lineTo x="0" y="21405"/>
                <wp:lineTo x="21427" y="21405"/>
                <wp:lineTo x="21427"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1190" cy="2537460"/>
                    </a:xfrm>
                    <a:prstGeom prst="rect">
                      <a:avLst/>
                    </a:prstGeom>
                  </pic:spPr>
                </pic:pic>
              </a:graphicData>
            </a:graphic>
            <wp14:sizeRelH relativeFrom="margin">
              <wp14:pctWidth>0</wp14:pctWidth>
            </wp14:sizeRelH>
            <wp14:sizeRelV relativeFrom="margin">
              <wp14:pctHeight>0</wp14:pctHeight>
            </wp14:sizeRelV>
          </wp:anchor>
        </w:drawing>
      </w:r>
      <w:r w:rsidRPr="00537B2C">
        <w:rPr>
          <w:sz w:val="28"/>
          <w:szCs w:val="28"/>
        </w:rPr>
        <w:t xml:space="preserve">Innerhalb weniger Jahrzehnte hatten es die Nonnen von </w:t>
      </w:r>
      <w:proofErr w:type="spellStart"/>
      <w:r w:rsidRPr="00537B2C">
        <w:rPr>
          <w:sz w:val="28"/>
          <w:szCs w:val="28"/>
        </w:rPr>
        <w:t>Kapan</w:t>
      </w:r>
      <w:proofErr w:type="spellEnd"/>
      <w:r w:rsidRPr="00537B2C">
        <w:rPr>
          <w:sz w:val="28"/>
          <w:szCs w:val="28"/>
        </w:rPr>
        <w:t xml:space="preserve"> verstanden, ein feines Netzwerk von Frauenklöstern und Handschriftenproduktion zu weben, </w:t>
      </w:r>
      <w:proofErr w:type="gramStart"/>
      <w:r w:rsidRPr="00537B2C">
        <w:rPr>
          <w:sz w:val="28"/>
          <w:szCs w:val="28"/>
        </w:rPr>
        <w:t>das</w:t>
      </w:r>
      <w:proofErr w:type="gramEnd"/>
      <w:r w:rsidRPr="00537B2C">
        <w:rPr>
          <w:sz w:val="28"/>
          <w:szCs w:val="28"/>
        </w:rPr>
        <w:t xml:space="preserve"> eine eigene „weiblichen“ Manuskripttradition in Südarmenien hervorbrachte und vom Kloster </w:t>
      </w:r>
      <w:proofErr w:type="spellStart"/>
      <w:r w:rsidRPr="00382DB1">
        <w:rPr>
          <w:b/>
          <w:bCs/>
          <w:color w:val="C00000"/>
          <w:sz w:val="28"/>
          <w:szCs w:val="28"/>
        </w:rPr>
        <w:t>Shorot</w:t>
      </w:r>
      <w:proofErr w:type="spellEnd"/>
      <w:r w:rsidRPr="00537B2C">
        <w:rPr>
          <w:color w:val="C00000"/>
          <w:sz w:val="28"/>
          <w:szCs w:val="28"/>
        </w:rPr>
        <w:t xml:space="preserve"> </w:t>
      </w:r>
      <w:r w:rsidRPr="00537B2C">
        <w:rPr>
          <w:sz w:val="28"/>
          <w:szCs w:val="28"/>
        </w:rPr>
        <w:t xml:space="preserve">in </w:t>
      </w:r>
      <w:proofErr w:type="spellStart"/>
      <w:r w:rsidRPr="00537B2C">
        <w:rPr>
          <w:sz w:val="28"/>
          <w:szCs w:val="28"/>
        </w:rPr>
        <w:t>Nachitschevan</w:t>
      </w:r>
      <w:proofErr w:type="spellEnd"/>
      <w:r w:rsidRPr="00537B2C">
        <w:rPr>
          <w:sz w:val="28"/>
          <w:szCs w:val="28"/>
        </w:rPr>
        <w:t xml:space="preserve"> bis ins Kloster </w:t>
      </w:r>
      <w:proofErr w:type="spellStart"/>
      <w:r w:rsidRPr="00382DB1">
        <w:rPr>
          <w:b/>
          <w:bCs/>
          <w:color w:val="C00000"/>
          <w:sz w:val="28"/>
          <w:szCs w:val="28"/>
        </w:rPr>
        <w:t>Avetaranots</w:t>
      </w:r>
      <w:proofErr w:type="spellEnd"/>
      <w:r w:rsidRPr="00537B2C">
        <w:rPr>
          <w:color w:val="C00000"/>
          <w:sz w:val="28"/>
          <w:szCs w:val="28"/>
        </w:rPr>
        <w:t xml:space="preserve"> </w:t>
      </w:r>
      <w:r w:rsidRPr="00537B2C">
        <w:rPr>
          <w:sz w:val="28"/>
          <w:szCs w:val="28"/>
        </w:rPr>
        <w:t xml:space="preserve">in Karabach reichte. Anhand von unzähligen Handschriften aus den genannten Klöstern, die weltweit in Sammlungen aufbewahrt werden, der Informationen in Kolophonen und auch der Feldforschung in den (Ruinen und Friedhöfen) der Nonnenklöster, wird nicht nur die Geschichte weiblichen Mönchtums in Armenien, sondern auch ein Stück besonderer „weiblicher Manuskriptproduktion“ und Sozialgeschichte Armeniens im 17. Jahrhundert nachgezeichnet. Denn auch die Lebensgeschichten einzelner Nonnen und Schreiberinnen </w:t>
      </w:r>
      <w:r w:rsidR="00382DB1">
        <w:rPr>
          <w:sz w:val="28"/>
          <w:szCs w:val="28"/>
        </w:rPr>
        <w:t xml:space="preserve">können </w:t>
      </w:r>
      <w:r w:rsidRPr="00537B2C">
        <w:rPr>
          <w:sz w:val="28"/>
          <w:szCs w:val="28"/>
        </w:rPr>
        <w:t>erzählt werden…</w:t>
      </w:r>
    </w:p>
    <w:p w14:paraId="4B17CD93" w14:textId="77777777" w:rsidR="007F4D5F" w:rsidRDefault="007F4D5F" w:rsidP="007F4D5F">
      <w:pPr>
        <w:jc w:val="both"/>
        <w:rPr>
          <w:rFonts w:ascii="Arial" w:hAnsi="Arial" w:cs="Arial"/>
          <w:sz w:val="20"/>
          <w:szCs w:val="20"/>
        </w:rPr>
      </w:pPr>
      <w:r>
        <w:rPr>
          <w:noProof/>
        </w:rPr>
        <w:drawing>
          <wp:anchor distT="0" distB="0" distL="114300" distR="114300" simplePos="0" relativeHeight="251661312" behindDoc="1" locked="0" layoutInCell="1" allowOverlap="1" wp14:anchorId="5B891FEF" wp14:editId="30146246">
            <wp:simplePos x="0" y="0"/>
            <wp:positionH relativeFrom="column">
              <wp:posOffset>4095750</wp:posOffset>
            </wp:positionH>
            <wp:positionV relativeFrom="paragraph">
              <wp:posOffset>27305</wp:posOffset>
            </wp:positionV>
            <wp:extent cx="2012950" cy="1508760"/>
            <wp:effectExtent l="0" t="0" r="6350" b="0"/>
            <wp:wrapTight wrapText="bothSides">
              <wp:wrapPolygon edited="0">
                <wp:start x="0" y="0"/>
                <wp:lineTo x="0" y="21273"/>
                <wp:lineTo x="21464" y="21273"/>
                <wp:lineTo x="21464"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2950" cy="1508760"/>
                    </a:xfrm>
                    <a:prstGeom prst="rect">
                      <a:avLst/>
                    </a:prstGeom>
                  </pic:spPr>
                </pic:pic>
              </a:graphicData>
            </a:graphic>
            <wp14:sizeRelH relativeFrom="margin">
              <wp14:pctWidth>0</wp14:pctWidth>
            </wp14:sizeRelH>
            <wp14:sizeRelV relativeFrom="margin">
              <wp14:pctHeight>0</wp14:pctHeight>
            </wp14:sizeRelV>
          </wp:anchor>
        </w:drawing>
      </w:r>
    </w:p>
    <w:p w14:paraId="2C5234E1" w14:textId="77777777" w:rsidR="007F4D5F" w:rsidRDefault="007F4D5F" w:rsidP="007F4D5F">
      <w:pPr>
        <w:jc w:val="both"/>
        <w:rPr>
          <w:rFonts w:ascii="Arial" w:hAnsi="Arial" w:cs="Arial"/>
          <w:sz w:val="20"/>
          <w:szCs w:val="20"/>
        </w:rPr>
      </w:pPr>
    </w:p>
    <w:p w14:paraId="2A0488A9" w14:textId="77777777" w:rsidR="007F4D5F" w:rsidRDefault="007F4D5F" w:rsidP="007F4D5F">
      <w:pPr>
        <w:jc w:val="both"/>
        <w:rPr>
          <w:rFonts w:ascii="Arial" w:hAnsi="Arial" w:cs="Arial"/>
          <w:sz w:val="20"/>
          <w:szCs w:val="20"/>
        </w:rPr>
      </w:pPr>
    </w:p>
    <w:p w14:paraId="1AEA4A2B" w14:textId="68023C60" w:rsidR="00AA31D5" w:rsidRDefault="007F4D5F" w:rsidP="00072354">
      <w:pPr>
        <w:jc w:val="both"/>
        <w:rPr>
          <w:rFonts w:ascii="Arial" w:hAnsi="Arial" w:cs="Arial"/>
          <w:sz w:val="20"/>
          <w:szCs w:val="20"/>
        </w:rPr>
      </w:pPr>
      <w:r w:rsidRPr="00513FB6">
        <w:rPr>
          <w:rFonts w:ascii="Arial" w:hAnsi="Arial" w:cs="Arial"/>
          <w:b/>
          <w:bCs/>
          <w:sz w:val="20"/>
          <w:szCs w:val="20"/>
        </w:rPr>
        <w:t>Jasmine Dum-Tragut</w:t>
      </w:r>
      <w:r w:rsidRPr="00537B2C">
        <w:rPr>
          <w:rFonts w:ascii="Arial" w:hAnsi="Arial" w:cs="Arial"/>
          <w:sz w:val="20"/>
          <w:szCs w:val="20"/>
        </w:rPr>
        <w:t xml:space="preserve"> in Kooperation mit Matenadaran </w:t>
      </w:r>
      <w:proofErr w:type="spellStart"/>
      <w:r w:rsidRPr="00537B2C">
        <w:rPr>
          <w:rFonts w:ascii="Arial" w:hAnsi="Arial" w:cs="Arial"/>
          <w:sz w:val="20"/>
          <w:szCs w:val="20"/>
        </w:rPr>
        <w:t>Jerevan</w:t>
      </w:r>
      <w:proofErr w:type="spellEnd"/>
      <w:r>
        <w:rPr>
          <w:rFonts w:ascii="Arial" w:hAnsi="Arial" w:cs="Arial"/>
          <w:sz w:val="20"/>
          <w:szCs w:val="20"/>
        </w:rPr>
        <w:t xml:space="preserve">, dem </w:t>
      </w:r>
      <w:proofErr w:type="spellStart"/>
      <w:r w:rsidRPr="00537B2C">
        <w:rPr>
          <w:rFonts w:ascii="Arial" w:hAnsi="Arial" w:cs="Arial"/>
          <w:sz w:val="20"/>
          <w:szCs w:val="20"/>
        </w:rPr>
        <w:t>Mechitharistenorden</w:t>
      </w:r>
      <w:proofErr w:type="spellEnd"/>
      <w:r w:rsidRPr="00537B2C">
        <w:rPr>
          <w:rFonts w:ascii="Arial" w:hAnsi="Arial" w:cs="Arial"/>
          <w:sz w:val="20"/>
          <w:szCs w:val="20"/>
        </w:rPr>
        <w:t xml:space="preserve"> Wien und Venedig,</w:t>
      </w:r>
      <w:r>
        <w:rPr>
          <w:rFonts w:ascii="Arial" w:hAnsi="Arial" w:cs="Arial"/>
          <w:sz w:val="20"/>
          <w:szCs w:val="20"/>
        </w:rPr>
        <w:t xml:space="preserve"> </w:t>
      </w:r>
      <w:r w:rsidRPr="00537B2C">
        <w:rPr>
          <w:rFonts w:ascii="Arial" w:hAnsi="Arial" w:cs="Arial"/>
          <w:sz w:val="20"/>
          <w:szCs w:val="20"/>
        </w:rPr>
        <w:t>Handschriftensammlung</w:t>
      </w:r>
      <w:r>
        <w:rPr>
          <w:rFonts w:ascii="Arial" w:hAnsi="Arial" w:cs="Arial"/>
          <w:sz w:val="20"/>
          <w:szCs w:val="20"/>
        </w:rPr>
        <w:t xml:space="preserve"> </w:t>
      </w:r>
      <w:r w:rsidRPr="00537B2C">
        <w:rPr>
          <w:rFonts w:ascii="Arial" w:hAnsi="Arial" w:cs="Arial"/>
          <w:sz w:val="20"/>
          <w:szCs w:val="20"/>
        </w:rPr>
        <w:t xml:space="preserve">des armenischen Patriarchats von Jerusalem und der armenischen Akademie der Wissenschaften. Feldforschung in Armenien gemeinsam mit </w:t>
      </w:r>
      <w:proofErr w:type="spellStart"/>
      <w:r w:rsidRPr="00513FB6">
        <w:rPr>
          <w:rFonts w:ascii="Arial" w:hAnsi="Arial" w:cs="Arial"/>
          <w:b/>
          <w:bCs/>
          <w:sz w:val="20"/>
          <w:szCs w:val="20"/>
        </w:rPr>
        <w:t>Tigran</w:t>
      </w:r>
      <w:proofErr w:type="spellEnd"/>
      <w:r w:rsidRPr="00513FB6">
        <w:rPr>
          <w:rFonts w:ascii="Arial" w:hAnsi="Arial" w:cs="Arial"/>
          <w:b/>
          <w:bCs/>
          <w:sz w:val="20"/>
          <w:szCs w:val="20"/>
        </w:rPr>
        <w:t xml:space="preserve"> </w:t>
      </w:r>
      <w:proofErr w:type="spellStart"/>
      <w:r w:rsidRPr="00513FB6">
        <w:rPr>
          <w:rFonts w:ascii="Arial" w:hAnsi="Arial" w:cs="Arial"/>
          <w:b/>
          <w:bCs/>
          <w:sz w:val="20"/>
          <w:szCs w:val="20"/>
        </w:rPr>
        <w:t>Sargsyan</w:t>
      </w:r>
      <w:proofErr w:type="spellEnd"/>
      <w:r w:rsidRPr="00537B2C">
        <w:rPr>
          <w:rFonts w:ascii="Arial" w:hAnsi="Arial" w:cs="Arial"/>
          <w:sz w:val="20"/>
          <w:szCs w:val="20"/>
        </w:rPr>
        <w:t>.</w:t>
      </w:r>
    </w:p>
    <w:p w14:paraId="10581C95" w14:textId="77777777" w:rsidR="00072354" w:rsidRDefault="00072354" w:rsidP="00072354">
      <w:pPr>
        <w:ind w:right="-1"/>
        <w:jc w:val="both"/>
        <w:rPr>
          <w:rFonts w:ascii="Arial" w:hAnsi="Arial" w:cs="Arial"/>
          <w:sz w:val="20"/>
          <w:szCs w:val="20"/>
        </w:rPr>
      </w:pPr>
    </w:p>
    <w:p w14:paraId="737BE80B" w14:textId="77777777" w:rsidR="00072354" w:rsidRDefault="00072354" w:rsidP="00072354">
      <w:pPr>
        <w:ind w:right="-1"/>
        <w:jc w:val="both"/>
        <w:rPr>
          <w:rFonts w:ascii="Arial" w:hAnsi="Arial" w:cs="Arial"/>
          <w:sz w:val="20"/>
          <w:szCs w:val="20"/>
        </w:rPr>
      </w:pPr>
    </w:p>
    <w:p w14:paraId="56B95905" w14:textId="77777777" w:rsidR="00072354" w:rsidRDefault="00072354" w:rsidP="00072354">
      <w:pPr>
        <w:ind w:right="-1"/>
        <w:jc w:val="both"/>
        <w:rPr>
          <w:rFonts w:ascii="Arial" w:hAnsi="Arial" w:cs="Arial"/>
          <w:sz w:val="20"/>
          <w:szCs w:val="20"/>
        </w:rPr>
      </w:pPr>
    </w:p>
    <w:p w14:paraId="4AFC9E33" w14:textId="77777777" w:rsidR="00072354" w:rsidRDefault="00072354" w:rsidP="00072354">
      <w:pPr>
        <w:ind w:right="-1"/>
        <w:jc w:val="both"/>
        <w:rPr>
          <w:rFonts w:ascii="Arial" w:hAnsi="Arial" w:cs="Arial"/>
          <w:sz w:val="20"/>
          <w:szCs w:val="20"/>
        </w:rPr>
      </w:pPr>
    </w:p>
    <w:p w14:paraId="1FB5B906" w14:textId="584DEFC1" w:rsidR="00072354" w:rsidRPr="00072354" w:rsidRDefault="00072354" w:rsidP="0007235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ind w:right="-1"/>
        <w:jc w:val="both"/>
        <w:rPr>
          <w:rFonts w:ascii="Arial" w:hAnsi="Arial" w:cs="Arial"/>
          <w:sz w:val="20"/>
          <w:szCs w:val="20"/>
        </w:rPr>
      </w:pPr>
      <w:r w:rsidRPr="00072354">
        <w:rPr>
          <w:rFonts w:ascii="Arial" w:hAnsi="Arial" w:cs="Arial"/>
          <w:sz w:val="20"/>
          <w:szCs w:val="20"/>
        </w:rPr>
        <w:t xml:space="preserve">Im Oktober 2025 ist eine österreich-armenische Ausstellung (Kuratorin J. Dum-Tragut) an der armenischen Handschriftensammlung Matenadaran in </w:t>
      </w:r>
      <w:proofErr w:type="spellStart"/>
      <w:r w:rsidRPr="00072354">
        <w:rPr>
          <w:rFonts w:ascii="Arial" w:hAnsi="Arial" w:cs="Arial"/>
          <w:sz w:val="20"/>
          <w:szCs w:val="20"/>
        </w:rPr>
        <w:t>Jerevan</w:t>
      </w:r>
      <w:proofErr w:type="spellEnd"/>
      <w:r w:rsidRPr="00072354">
        <w:rPr>
          <w:rFonts w:ascii="Arial" w:hAnsi="Arial" w:cs="Arial"/>
          <w:sz w:val="20"/>
          <w:szCs w:val="20"/>
        </w:rPr>
        <w:t xml:space="preserve"> unter dem Titel „</w:t>
      </w:r>
      <w:proofErr w:type="spellStart"/>
      <w:r w:rsidRPr="00072354">
        <w:rPr>
          <w:rFonts w:ascii="Arial" w:hAnsi="Arial" w:cs="Arial"/>
          <w:sz w:val="20"/>
          <w:szCs w:val="20"/>
        </w:rPr>
        <w:t>Female</w:t>
      </w:r>
      <w:proofErr w:type="spellEnd"/>
      <w:r w:rsidRPr="00072354">
        <w:rPr>
          <w:rFonts w:ascii="Arial" w:hAnsi="Arial" w:cs="Arial"/>
          <w:sz w:val="20"/>
          <w:szCs w:val="20"/>
        </w:rPr>
        <w:t xml:space="preserve"> Hands – </w:t>
      </w:r>
      <w:proofErr w:type="spellStart"/>
      <w:r w:rsidRPr="00072354">
        <w:rPr>
          <w:rFonts w:ascii="Arial" w:hAnsi="Arial" w:cs="Arial"/>
          <w:sz w:val="20"/>
          <w:szCs w:val="20"/>
        </w:rPr>
        <w:t>Nunneries</w:t>
      </w:r>
      <w:proofErr w:type="spellEnd"/>
      <w:r w:rsidRPr="00072354">
        <w:rPr>
          <w:rFonts w:ascii="Arial" w:hAnsi="Arial" w:cs="Arial"/>
          <w:sz w:val="20"/>
          <w:szCs w:val="20"/>
        </w:rPr>
        <w:t xml:space="preserve"> in Southern Armenian 17th-18th cc.“, in Kooperation mit Stift </w:t>
      </w:r>
      <w:proofErr w:type="spellStart"/>
      <w:r w:rsidRPr="00072354">
        <w:rPr>
          <w:rFonts w:ascii="Arial" w:hAnsi="Arial" w:cs="Arial"/>
          <w:sz w:val="20"/>
          <w:szCs w:val="20"/>
        </w:rPr>
        <w:t>Nonnberg</w:t>
      </w:r>
      <w:proofErr w:type="spellEnd"/>
      <w:r w:rsidRPr="00072354">
        <w:rPr>
          <w:rFonts w:ascii="Arial" w:hAnsi="Arial" w:cs="Arial"/>
          <w:sz w:val="20"/>
          <w:szCs w:val="20"/>
        </w:rPr>
        <w:t>, Salzburg, geplant.</w:t>
      </w:r>
    </w:p>
    <w:sectPr w:rsidR="00072354" w:rsidRPr="00072354" w:rsidSect="00843F1F">
      <w:pgSz w:w="11906" w:h="16838" w:code="9"/>
      <w:pgMar w:top="1134" w:right="1134" w:bottom="1134" w:left="1134" w:header="709" w:footer="709" w:gutter="0"/>
      <w:pgBorders w:offsetFrom="page">
        <w:top w:val="doubleWave" w:sz="6" w:space="24" w:color="C00000"/>
        <w:left w:val="doubleWave" w:sz="6" w:space="24" w:color="C00000"/>
        <w:bottom w:val="doubleWave" w:sz="6" w:space="24" w:color="C00000"/>
        <w:right w:val="doubleWave" w:sz="6"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5F"/>
    <w:rsid w:val="00032D6D"/>
    <w:rsid w:val="00072354"/>
    <w:rsid w:val="00284F19"/>
    <w:rsid w:val="0036467E"/>
    <w:rsid w:val="00382DB1"/>
    <w:rsid w:val="006F0296"/>
    <w:rsid w:val="007F4D5F"/>
    <w:rsid w:val="00843F1F"/>
    <w:rsid w:val="00AA31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0B34"/>
  <w15:chartTrackingRefBased/>
  <w15:docId w15:val="{25687B56-249B-41E6-B814-72B73924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4D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1899</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Dum-Tragut</dc:creator>
  <cp:keywords/>
  <dc:description/>
  <cp:lastModifiedBy>Jasmine Dum-Tragut</cp:lastModifiedBy>
  <cp:revision>6</cp:revision>
  <dcterms:created xsi:type="dcterms:W3CDTF">2021-07-29T14:29:00Z</dcterms:created>
  <dcterms:modified xsi:type="dcterms:W3CDTF">2024-10-13T12:32:00Z</dcterms:modified>
</cp:coreProperties>
</file>